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r w:rsidRPr="00BA4903">
        <w:rPr>
          <w:sz w:val="28"/>
          <w:szCs w:val="28"/>
        </w:rPr>
        <w:t>Москва</w:t>
      </w:r>
    </w:p>
    <w:p w:rsidR="00434995" w:rsidRDefault="00434995" w:rsidP="00D81030">
      <w:pPr>
        <w:spacing w:line="360" w:lineRule="auto"/>
        <w:jc w:val="center"/>
        <w:rPr>
          <w:sz w:val="28"/>
          <w:szCs w:val="28"/>
        </w:rPr>
      </w:pPr>
      <w:r w:rsidRPr="00BA4903">
        <w:rPr>
          <w:sz w:val="28"/>
          <w:szCs w:val="28"/>
        </w:rPr>
        <w:t>201</w:t>
      </w:r>
      <w:r w:rsidR="0066060A">
        <w:rPr>
          <w:sz w:val="28"/>
          <w:szCs w:val="28"/>
        </w:rPr>
        <w:t>4</w:t>
      </w:r>
    </w:p>
    <w:p w:rsidR="008B5A5C" w:rsidRDefault="008B5A5C" w:rsidP="00D81030">
      <w:pPr>
        <w:spacing w:line="360" w:lineRule="auto"/>
        <w:jc w:val="center"/>
        <w:rPr>
          <w:sz w:val="28"/>
          <w:szCs w:val="28"/>
        </w:rPr>
      </w:pPr>
    </w:p>
    <w:p w:rsidR="008B5A5C" w:rsidRPr="00BA4903" w:rsidRDefault="008B5A5C" w:rsidP="00D81030">
      <w:pPr>
        <w:spacing w:line="360" w:lineRule="auto"/>
        <w:jc w:val="center"/>
        <w:rPr>
          <w:sz w:val="28"/>
          <w:szCs w:val="28"/>
        </w:rPr>
      </w:pPr>
      <w:bookmarkStart w:id="0" w:name="_GoBack"/>
      <w:bookmarkEnd w:id="0"/>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proofErr w:type="gramStart"/>
            <w:r w:rsidR="00C01434" w:rsidRPr="00D408DC">
              <w:rPr>
                <w:b w:val="0"/>
                <w:i w:val="0"/>
                <w:lang w:val="ru-RU" w:eastAsia="ru-RU"/>
              </w:rPr>
              <w:t>…</w:t>
            </w:r>
            <w:r w:rsidR="0031355E">
              <w:rPr>
                <w:b w:val="0"/>
                <w:i w:val="0"/>
                <w:lang w:val="ru-RU" w:eastAsia="ru-RU"/>
              </w:rPr>
              <w:t>….</w:t>
            </w:r>
            <w:proofErr w:type="gramEnd"/>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proofErr w:type="gramStart"/>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roofErr w:type="gramEnd"/>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proofErr w:type="gramStart"/>
            <w:r w:rsidR="00C01434">
              <w:rPr>
                <w:sz w:val="28"/>
                <w:szCs w:val="28"/>
                <w:shd w:val="clear" w:color="auto" w:fill="FFFFFF"/>
              </w:rPr>
              <w:t>…</w:t>
            </w:r>
            <w:r w:rsidR="0031355E">
              <w:rPr>
                <w:sz w:val="28"/>
                <w:szCs w:val="28"/>
                <w:shd w:val="clear" w:color="auto" w:fill="FFFFFF"/>
              </w:rPr>
              <w:t>….</w:t>
            </w:r>
            <w:proofErr w:type="gramEnd"/>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proofErr w:type="gramStart"/>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roofErr w:type="gramEnd"/>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proofErr w:type="gramStart"/>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roofErr w:type="gramEnd"/>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proofErr w:type="gramStart"/>
            <w:r w:rsidR="00C01434" w:rsidRPr="00D408DC">
              <w:rPr>
                <w:b w:val="0"/>
                <w:i w:val="0"/>
                <w:lang w:val="ru-RU" w:eastAsia="ru-RU"/>
              </w:rPr>
              <w:t>…</w:t>
            </w:r>
            <w:r w:rsidR="0031355E">
              <w:rPr>
                <w:b w:val="0"/>
                <w:i w:val="0"/>
                <w:lang w:val="ru-RU" w:eastAsia="ru-RU"/>
              </w:rPr>
              <w:t>….</w:t>
            </w:r>
            <w:proofErr w:type="gramEnd"/>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proofErr w:type="gramStart"/>
            <w:r w:rsidR="00C01434" w:rsidRPr="00D408DC">
              <w:rPr>
                <w:b w:val="0"/>
                <w:i w:val="0"/>
                <w:lang w:val="ru-RU" w:eastAsia="ru-RU"/>
              </w:rPr>
              <w:t>…</w:t>
            </w:r>
            <w:r w:rsidR="0031355E">
              <w:rPr>
                <w:b w:val="0"/>
                <w:i w:val="0"/>
                <w:lang w:val="ru-RU" w:eastAsia="ru-RU"/>
              </w:rPr>
              <w:t>….</w:t>
            </w:r>
            <w:proofErr w:type="gramEnd"/>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proofErr w:type="gramStart"/>
            <w:r w:rsidR="00C01434" w:rsidRPr="00D408DC">
              <w:rPr>
                <w:b w:val="0"/>
                <w:i w:val="0"/>
                <w:lang w:val="ru-RU" w:eastAsia="ru-RU"/>
              </w:rPr>
              <w:t>…</w:t>
            </w:r>
            <w:r w:rsidR="0031355E">
              <w:rPr>
                <w:b w:val="0"/>
                <w:i w:val="0"/>
                <w:lang w:val="ru-RU" w:eastAsia="ru-RU"/>
              </w:rPr>
              <w:t>….</w:t>
            </w:r>
            <w:proofErr w:type="gramEnd"/>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proofErr w:type="gramStart"/>
            <w:r w:rsidR="0031355E">
              <w:rPr>
                <w:b w:val="0"/>
                <w:i w:val="0"/>
                <w:lang w:val="ru-RU" w:eastAsia="ru-RU"/>
              </w:rPr>
              <w:t>…….</w:t>
            </w:r>
            <w:proofErr w:type="gramEnd"/>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proofErr w:type="gramStart"/>
            <w:r w:rsidR="00C01434" w:rsidRPr="00D408DC">
              <w:rPr>
                <w:b w:val="0"/>
                <w:i w:val="0"/>
                <w:lang w:val="ru-RU" w:eastAsia="ru-RU"/>
              </w:rPr>
              <w:t>…</w:t>
            </w:r>
            <w:r w:rsidR="0031355E">
              <w:rPr>
                <w:b w:val="0"/>
                <w:i w:val="0"/>
                <w:lang w:val="ru-RU" w:eastAsia="ru-RU"/>
              </w:rPr>
              <w:t>….</w:t>
            </w:r>
            <w:proofErr w:type="gramEnd"/>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proofErr w:type="gramStart"/>
            <w:r w:rsidR="0031355E">
              <w:rPr>
                <w:sz w:val="28"/>
                <w:szCs w:val="28"/>
              </w:rPr>
              <w:t>…….</w:t>
            </w:r>
            <w:proofErr w:type="gramEnd"/>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roofErr w:type="gramStart"/>
            <w:r w:rsidR="0031355E">
              <w:rPr>
                <w:sz w:val="28"/>
                <w:szCs w:val="28"/>
              </w:rPr>
              <w:t>…….</w:t>
            </w:r>
            <w:proofErr w:type="gramEnd"/>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1" w:name="_Toc369706623"/>
      <w:r w:rsidRPr="00BA4903">
        <w:rPr>
          <w:rFonts w:ascii="Times New Roman" w:hAnsi="Times New Roman"/>
          <w:sz w:val="28"/>
          <w:szCs w:val="28"/>
        </w:rPr>
        <w:lastRenderedPageBreak/>
        <w:t>Введение</w:t>
      </w:r>
      <w:bookmarkEnd w:id="1"/>
    </w:p>
    <w:p w:rsidR="00DB2B96" w:rsidRPr="00DB2B96" w:rsidRDefault="00DB2B96" w:rsidP="00DB2B96"/>
    <w:p w:rsidR="00434995" w:rsidRPr="00BA4903" w:rsidRDefault="00434995" w:rsidP="006F0E1F">
      <w:pPr>
        <w:pStyle w:val="2"/>
      </w:pPr>
      <w:bookmarkStart w:id="2" w:name="_Toc369706624"/>
      <w:r w:rsidRPr="00BA4903">
        <w:t>1. Цели и задачи Методических рекомендаций</w:t>
      </w:r>
      <w:bookmarkEnd w:id="2"/>
    </w:p>
    <w:p w:rsidR="00434995" w:rsidRPr="00BA4903" w:rsidRDefault="00434995" w:rsidP="00DB2B96">
      <w:pPr>
        <w:ind w:firstLine="624"/>
        <w:jc w:val="both"/>
        <w:rPr>
          <w:sz w:val="28"/>
          <w:szCs w:val="28"/>
        </w:rPr>
      </w:pPr>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3" w:name="_Toc369706625"/>
      <w:r w:rsidRPr="00BA4903">
        <w:t>2. Термины и определения</w:t>
      </w:r>
      <w:bookmarkEnd w:id="3"/>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lastRenderedPageBreak/>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r w:rsidRPr="007E65C0">
        <w:rPr>
          <w:b/>
          <w:i/>
          <w:sz w:val="28"/>
          <w:szCs w:val="28"/>
        </w:rPr>
        <w:t>Комплаенс</w:t>
      </w:r>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w:t>
      </w:r>
      <w:proofErr w:type="spellStart"/>
      <w:r>
        <w:rPr>
          <w:sz w:val="28"/>
          <w:szCs w:val="28"/>
        </w:rPr>
        <w:t>коррупционно</w:t>
      </w:r>
      <w:proofErr w:type="spellEnd"/>
      <w:r>
        <w:rPr>
          <w:sz w:val="28"/>
          <w:szCs w:val="28"/>
        </w:rPr>
        <w:t xml:space="preserve"> опасных сфер деятельности и обеспечение комплексной защиты организации. </w:t>
      </w:r>
    </w:p>
    <w:p w:rsidR="00434995" w:rsidRPr="00BA4903" w:rsidRDefault="00434995" w:rsidP="006F0E1F">
      <w:pPr>
        <w:pStyle w:val="2"/>
      </w:pPr>
      <w:bookmarkStart w:id="4" w:name="_Toc369706626"/>
      <w:r w:rsidRPr="00BA4903">
        <w:t>3.</w:t>
      </w:r>
      <w:r w:rsidR="00DB2B96">
        <w:t> </w:t>
      </w:r>
      <w:r w:rsidRPr="00BA4903">
        <w:t>Круг субъектов, для которых разработаны Методические рекомендации</w:t>
      </w:r>
      <w:bookmarkEnd w:id="4"/>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 xml:space="preserve">органами, органами государственной власти субъектов Российской Федерации, </w:t>
      </w:r>
      <w:r w:rsidRPr="00BA4903">
        <w:rPr>
          <w:sz w:val="28"/>
          <w:szCs w:val="28"/>
        </w:rPr>
        <w:lastRenderedPageBreak/>
        <w:t>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5" w:name="_Toc369706627"/>
      <w:r w:rsidRPr="00BA4903">
        <w:rPr>
          <w:rFonts w:ascii="Times New Roman" w:hAnsi="Times New Roman"/>
          <w:sz w:val="28"/>
          <w:szCs w:val="28"/>
        </w:rPr>
        <w:t>Нормативное правовое обеспечение</w:t>
      </w:r>
      <w:bookmarkEnd w:id="5"/>
    </w:p>
    <w:p w:rsidR="00DB2B96" w:rsidRPr="00DB2B96" w:rsidRDefault="00DB2B96" w:rsidP="00DB2B96">
      <w:pPr>
        <w:ind w:left="624"/>
      </w:pPr>
    </w:p>
    <w:p w:rsidR="00434995" w:rsidRPr="00BA4903" w:rsidRDefault="006F0E1F" w:rsidP="006F0E1F">
      <w:pPr>
        <w:pStyle w:val="2"/>
      </w:pPr>
      <w:bookmarkStart w:id="6" w:name="_Toc369706628"/>
      <w:r>
        <w:t>1. </w:t>
      </w:r>
      <w:r w:rsidR="00434995" w:rsidRPr="00BA4903">
        <w:t>Российское законодательство в сфере предупреждения и противодействия коррупции</w:t>
      </w:r>
      <w:bookmarkEnd w:id="6"/>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lastRenderedPageBreak/>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w:t>
      </w:r>
      <w:r w:rsidRPr="00BA4903">
        <w:rPr>
          <w:sz w:val="28"/>
          <w:szCs w:val="28"/>
        </w:rPr>
        <w:lastRenderedPageBreak/>
        <w:t>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8"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9" w:history="1">
        <w:r w:rsidRPr="00BA4903">
          <w:rPr>
            <w:sz w:val="28"/>
            <w:szCs w:val="28"/>
          </w:rPr>
          <w:t>раздел I</w:t>
        </w:r>
      </w:hyperlink>
      <w:r w:rsidRPr="00BA4903">
        <w:rPr>
          <w:sz w:val="28"/>
          <w:szCs w:val="28"/>
        </w:rPr>
        <w:t xml:space="preserve"> или </w:t>
      </w:r>
      <w:hyperlink r:id="rId10"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1"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2"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w:t>
      </w:r>
      <w:r w:rsidR="00434995" w:rsidRPr="00BA4903">
        <w:rPr>
          <w:sz w:val="28"/>
          <w:szCs w:val="28"/>
        </w:rPr>
        <w:lastRenderedPageBreak/>
        <w:t xml:space="preserve">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lastRenderedPageBreak/>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proofErr w:type="spellStart"/>
      <w:r w:rsidRPr="008070B4">
        <w:rPr>
          <w:bCs/>
          <w:sz w:val="28"/>
          <w:szCs w:val="28"/>
          <w:lang w:val="en-US"/>
        </w:rPr>
        <w:t>Foreig</w:t>
      </w:r>
      <w:proofErr w:type="spellEnd"/>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29"/>
      <w:r w:rsidRPr="00BA4903">
        <w:rPr>
          <w:rFonts w:ascii="Times New Roman" w:hAnsi="Times New Roman"/>
          <w:sz w:val="28"/>
          <w:szCs w:val="28"/>
        </w:rPr>
        <w:t>Основные принципы противодействия коррупции в организации</w:t>
      </w:r>
      <w:bookmarkEnd w:id="7"/>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lastRenderedPageBreak/>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8" w:name="_Toc369706630"/>
      <w:r w:rsidRPr="00BA4903">
        <w:rPr>
          <w:rFonts w:ascii="Times New Roman" w:hAnsi="Times New Roman"/>
          <w:sz w:val="28"/>
          <w:szCs w:val="28"/>
        </w:rPr>
        <w:t>Антикоррупционная политика организации</w:t>
      </w:r>
      <w:bookmarkEnd w:id="8"/>
    </w:p>
    <w:p w:rsidR="00DB2B96" w:rsidRPr="00DB2B96" w:rsidRDefault="00DB2B96" w:rsidP="00DB2B96">
      <w:pPr>
        <w:ind w:left="624"/>
      </w:pPr>
    </w:p>
    <w:p w:rsidR="00434995" w:rsidRPr="00BA4903" w:rsidRDefault="00434995" w:rsidP="006F0E1F">
      <w:pPr>
        <w:pStyle w:val="2"/>
      </w:pPr>
      <w:bookmarkStart w:id="9" w:name="_Toc369706631"/>
      <w:r w:rsidRPr="00BA4903">
        <w:t>1. Общие подходы к разработке и реализации антикоррупционной политики</w:t>
      </w:r>
      <w:bookmarkEnd w:id="9"/>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xml:space="preserve">, </w:t>
      </w:r>
      <w:r w:rsidR="00C94281">
        <w:rPr>
          <w:sz w:val="28"/>
          <w:szCs w:val="28"/>
        </w:rPr>
        <w:lastRenderedPageBreak/>
        <w:t>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w:t>
      </w:r>
      <w:r w:rsidRPr="00BA4903">
        <w:rPr>
          <w:sz w:val="28"/>
          <w:szCs w:val="28"/>
        </w:rPr>
        <w:lastRenderedPageBreak/>
        <w:t xml:space="preserve">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 xml:space="preserve">и противодействию коррупции, </w:t>
      </w:r>
      <w:r w:rsidRPr="00BA4903">
        <w:rPr>
          <w:sz w:val="28"/>
          <w:szCs w:val="28"/>
        </w:rPr>
        <w:lastRenderedPageBreak/>
        <w:t>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lastRenderedPageBreak/>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 xml:space="preserve">работников, </w:t>
      </w:r>
      <w:r w:rsidR="00434995" w:rsidRPr="00BA4903">
        <w:rPr>
          <w:sz w:val="28"/>
          <w:szCs w:val="28"/>
        </w:rPr>
        <w:lastRenderedPageBreak/>
        <w:t>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Нормативное обеспечение, закрепление стандартов поведения и декларация намерений</w:t>
            </w:r>
          </w:p>
        </w:tc>
        <w:tc>
          <w:tcPr>
            <w:tcW w:w="6480" w:type="dxa"/>
          </w:tcPr>
          <w:p w:rsidR="00B05BDF" w:rsidRPr="00BA4903" w:rsidRDefault="00B05BDF" w:rsidP="00DB2B96">
            <w:pPr>
              <w:jc w:val="both"/>
              <w:rPr>
                <w:sz w:val="28"/>
                <w:szCs w:val="28"/>
              </w:rPr>
            </w:pPr>
            <w:r w:rsidRPr="00BA4903">
              <w:rPr>
                <w:sz w:val="28"/>
                <w:szCs w:val="28"/>
              </w:rPr>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lastRenderedPageBreak/>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Обучение и 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 xml:space="preserve">Обеспечение соответствия системы </w:t>
            </w:r>
            <w:r w:rsidRPr="00BA4903">
              <w:rPr>
                <w:sz w:val="28"/>
                <w:szCs w:val="28"/>
              </w:rPr>
              <w:lastRenderedPageBreak/>
              <w:t>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lastRenderedPageBreak/>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10" w:name="_Toc369706632"/>
      <w:r w:rsidRPr="00BA4903">
        <w:t>2. Определение подразделений или должностных лиц, ответственных за противодействие  коррупции</w:t>
      </w:r>
      <w:bookmarkEnd w:id="10"/>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w:t>
      </w:r>
      <w:r w:rsidRPr="00BA4903">
        <w:rPr>
          <w:sz w:val="28"/>
          <w:szCs w:val="28"/>
        </w:rPr>
        <w:lastRenderedPageBreak/>
        <w:t>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1" w:name="_Toc369706633"/>
      <w:r w:rsidRPr="00BA4903">
        <w:t>3. Оценка коррупционных рисков</w:t>
      </w:r>
      <w:bookmarkEnd w:id="11"/>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w:t>
      </w:r>
      <w:r w:rsidRPr="00BA4903">
        <w:rPr>
          <w:sz w:val="28"/>
          <w:szCs w:val="28"/>
        </w:rPr>
        <w:lastRenderedPageBreak/>
        <w:t>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(подпроцессы);</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lastRenderedPageBreak/>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2" w:name="_Toc369706634"/>
      <w:r w:rsidRPr="00211231">
        <w:t>4. Выявление и урегулирование конфликта интересов</w:t>
      </w:r>
      <w:bookmarkEnd w:id="12"/>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 xml:space="preserve">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w:t>
      </w:r>
      <w:r w:rsidR="00A75610" w:rsidRPr="00211231">
        <w:rPr>
          <w:sz w:val="28"/>
          <w:szCs w:val="28"/>
        </w:rPr>
        <w:lastRenderedPageBreak/>
        <w:t>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lastRenderedPageBreak/>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запреты и 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w:t>
      </w:r>
      <w:r w:rsidRPr="00211231">
        <w:rPr>
          <w:sz w:val="28"/>
          <w:szCs w:val="28"/>
        </w:rPr>
        <w:lastRenderedPageBreak/>
        <w:t>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неполнородные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w:t>
      </w:r>
      <w:r w:rsidRPr="00211231">
        <w:rPr>
          <w:sz w:val="28"/>
          <w:szCs w:val="28"/>
        </w:rPr>
        <w:lastRenderedPageBreak/>
        <w:t xml:space="preserve">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 xml:space="preserve">управляющих компаний, брокеров, специализированных депозитариев, принимающих </w:t>
      </w:r>
      <w:r w:rsidR="00D17E55" w:rsidRPr="00211231">
        <w:rPr>
          <w:sz w:val="28"/>
          <w:szCs w:val="28"/>
        </w:rPr>
        <w:lastRenderedPageBreak/>
        <w:t>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lastRenderedPageBreak/>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lastRenderedPageBreak/>
        <w:t>совершать банковские операции и другие сделки и осуществлять их регистрацию и (или) отражение в учете;</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323-ФЗ «Об основах 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lastRenderedPageBreak/>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lastRenderedPageBreak/>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1877E2">
      <w:pPr>
        <w:numPr>
          <w:ilvl w:val="0"/>
          <w:numId w:val="38"/>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1877E2">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1877E2">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lastRenderedPageBreak/>
        <w:t>являются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lastRenderedPageBreak/>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1877E2">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w:t>
      </w:r>
      <w:r w:rsidRPr="00211231">
        <w:rPr>
          <w:sz w:val="28"/>
          <w:szCs w:val="28"/>
        </w:rPr>
        <w:lastRenderedPageBreak/>
        <w:t xml:space="preserve">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являются участниками, кредиторами этих </w:t>
      </w:r>
      <w:proofErr w:type="spellStart"/>
      <w:r w:rsidRPr="00211231">
        <w:rPr>
          <w:sz w:val="28"/>
          <w:szCs w:val="28"/>
        </w:rPr>
        <w:t>организаций</w:t>
      </w:r>
      <w:r w:rsidR="00A61D84" w:rsidRPr="00211231">
        <w:rPr>
          <w:sz w:val="28"/>
          <w:szCs w:val="28"/>
        </w:rPr>
        <w:t>;</w:t>
      </w:r>
      <w:r w:rsidRPr="00211231">
        <w:rPr>
          <w:sz w:val="28"/>
          <w:szCs w:val="28"/>
        </w:rPr>
        <w:t>состоят</w:t>
      </w:r>
      <w:proofErr w:type="spellEnd"/>
      <w:r w:rsidRPr="00211231">
        <w:rPr>
          <w:sz w:val="28"/>
          <w:szCs w:val="28"/>
        </w:rPr>
        <w:t xml:space="preserve"> с этими гражданами в близких родственных отношениях</w:t>
      </w:r>
      <w:r w:rsidR="00A61D84" w:rsidRPr="00211231">
        <w:rPr>
          <w:sz w:val="28"/>
          <w:szCs w:val="28"/>
        </w:rPr>
        <w:t>;</w:t>
      </w:r>
    </w:p>
    <w:p w:rsidR="004F4535"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 xml:space="preserve">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w:t>
      </w:r>
      <w:r w:rsidRPr="00211231">
        <w:rPr>
          <w:sz w:val="28"/>
          <w:szCs w:val="28"/>
        </w:rPr>
        <w:lastRenderedPageBreak/>
        <w:t>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 xml:space="preserve">трудовых обязанностей. При разработке положения о </w:t>
      </w:r>
      <w:r w:rsidRPr="00BA4903">
        <w:rPr>
          <w:sz w:val="28"/>
          <w:szCs w:val="28"/>
        </w:rPr>
        <w:lastRenderedPageBreak/>
        <w:t>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lastRenderedPageBreak/>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lastRenderedPageBreak/>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w:t>
      </w:r>
      <w:proofErr w:type="spellStart"/>
      <w:r w:rsidRPr="00BA4903">
        <w:rPr>
          <w:sz w:val="28"/>
          <w:szCs w:val="28"/>
        </w:rPr>
        <w:t>придти</w:t>
      </w:r>
      <w:proofErr w:type="spellEnd"/>
      <w:r w:rsidRPr="00BA4903">
        <w:rPr>
          <w:sz w:val="28"/>
          <w:szCs w:val="2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BA4903">
        <w:rPr>
          <w:sz w:val="28"/>
          <w:szCs w:val="28"/>
        </w:rPr>
        <w:t>придти</w:t>
      </w:r>
      <w:proofErr w:type="spellEnd"/>
      <w:r w:rsidRPr="00BA4903">
        <w:rPr>
          <w:sz w:val="28"/>
          <w:szCs w:val="28"/>
        </w:rPr>
        <w:t xml:space="preserve">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lastRenderedPageBreak/>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3"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w:t>
      </w:r>
      <w:r w:rsidRPr="00BA4903">
        <w:rPr>
          <w:sz w:val="28"/>
          <w:szCs w:val="28"/>
        </w:rPr>
        <w:lastRenderedPageBreak/>
        <w:t>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4" w:name="_Toc369706636"/>
      <w:r w:rsidRPr="00BA4903">
        <w:t>6. Консультирование и обучение работников организации</w:t>
      </w:r>
      <w:bookmarkEnd w:id="14"/>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lastRenderedPageBreak/>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5" w:name="_Toc369706637"/>
      <w:r w:rsidRPr="00BA4903">
        <w:t>7. Внутренний контроль и аудит</w:t>
      </w:r>
      <w:bookmarkEnd w:id="15"/>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w:t>
      </w:r>
      <w:r w:rsidRPr="00BA4903">
        <w:rPr>
          <w:sz w:val="28"/>
          <w:szCs w:val="28"/>
        </w:rPr>
        <w:lastRenderedPageBreak/>
        <w:t xml:space="preserve">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lastRenderedPageBreak/>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 xml:space="preserve">финансовые организации обязаны обеспечивать надлежащую идентификацию личности клиентов, собственников, </w:t>
      </w:r>
      <w:proofErr w:type="spellStart"/>
      <w:r w:rsidRPr="00BA4903">
        <w:rPr>
          <w:sz w:val="28"/>
          <w:szCs w:val="28"/>
        </w:rPr>
        <w:t>бенифициаров</w:t>
      </w:r>
      <w:proofErr w:type="spellEnd"/>
      <w:r w:rsidRPr="00BA4903">
        <w:rPr>
          <w:sz w:val="28"/>
          <w:szCs w:val="28"/>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6"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6"/>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lastRenderedPageBreak/>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7" w:name="OLE_LINK1"/>
      <w:bookmarkStart w:id="18" w:name="OLE_LINK2"/>
      <w:r w:rsidRPr="00211231">
        <w:rPr>
          <w:sz w:val="28"/>
          <w:szCs w:val="28"/>
        </w:rPr>
        <w:t xml:space="preserve">Сотрудникам проверяемых организаций </w:t>
      </w:r>
      <w:bookmarkEnd w:id="17"/>
      <w:bookmarkEnd w:id="18"/>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w:t>
      </w:r>
      <w:r w:rsidRPr="00211231">
        <w:rPr>
          <w:sz w:val="28"/>
          <w:szCs w:val="28"/>
        </w:rPr>
        <w:lastRenderedPageBreak/>
        <w:t xml:space="preserve">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xml:space="preserve">.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w:t>
      </w:r>
      <w:r w:rsidRPr="00211231">
        <w:rPr>
          <w:sz w:val="28"/>
          <w:szCs w:val="28"/>
        </w:rPr>
        <w:lastRenderedPageBreak/>
        <w:t>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w:t>
      </w:r>
      <w:proofErr w:type="spellStart"/>
      <w:r w:rsidRPr="00211231">
        <w:rPr>
          <w:sz w:val="28"/>
          <w:szCs w:val="28"/>
        </w:rPr>
        <w:t>испрашивания</w:t>
      </w:r>
      <w:proofErr w:type="spellEnd"/>
      <w:r w:rsidRPr="00211231">
        <w:rPr>
          <w:sz w:val="28"/>
          <w:szCs w:val="28"/>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 xml:space="preserve">В случае </w:t>
      </w:r>
      <w:proofErr w:type="spellStart"/>
      <w:r w:rsidRPr="00211231">
        <w:rPr>
          <w:sz w:val="28"/>
          <w:szCs w:val="28"/>
        </w:rPr>
        <w:t>испрашивания</w:t>
      </w:r>
      <w:proofErr w:type="spellEnd"/>
      <w:r w:rsidRPr="00211231">
        <w:rPr>
          <w:sz w:val="28"/>
          <w:szCs w:val="28"/>
        </w:rPr>
        <w:t xml:space="preserve">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9" w:name="_Toc369706639"/>
      <w:r w:rsidRPr="00211231">
        <w:lastRenderedPageBreak/>
        <w:t>10</w:t>
      </w:r>
      <w:r w:rsidR="00434995" w:rsidRPr="00211231">
        <w:t>. Сотрудничество с правоохранительными органами в сфере противодействия коррупции</w:t>
      </w:r>
      <w:bookmarkEnd w:id="19"/>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20" w:name="_Toc369706640"/>
      <w:r w:rsidRPr="00BA4903">
        <w:t>1</w:t>
      </w:r>
      <w:r w:rsidR="005D6A32">
        <w:t>1</w:t>
      </w:r>
      <w:r w:rsidRPr="00BA4903">
        <w:t>. Участие в коллективных инициативах по противодействию коррупции</w:t>
      </w:r>
      <w:bookmarkEnd w:id="20"/>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lastRenderedPageBreak/>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proofErr w:type="spellStart"/>
      <w:r w:rsidRPr="00BA4903">
        <w:rPr>
          <w:sz w:val="28"/>
          <w:szCs w:val="28"/>
        </w:rPr>
        <w:t>артия</w:t>
      </w:r>
      <w:proofErr w:type="spellEnd"/>
      <w:r w:rsidRPr="00BA4903">
        <w:rPr>
          <w:sz w:val="28"/>
          <w:szCs w:val="28"/>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proofErr w:type="spellStart"/>
      <w:r w:rsidRPr="00BA4903">
        <w:rPr>
          <w:sz w:val="28"/>
          <w:szCs w:val="28"/>
        </w:rPr>
        <w:t>артии</w:t>
      </w:r>
      <w:proofErr w:type="spellEnd"/>
      <w:r w:rsidRPr="00BA4903">
        <w:rPr>
          <w:sz w:val="28"/>
          <w:szCs w:val="28"/>
        </w:rPr>
        <w:t xml:space="preserve">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3" w:history="1">
        <w:r w:rsidRPr="00BA4903">
          <w:rPr>
            <w:rStyle w:val="a9"/>
            <w:color w:val="auto"/>
            <w:sz w:val="28"/>
            <w:szCs w:val="28"/>
            <w:lang w:val="en-US"/>
          </w:rPr>
          <w:t>www</w:t>
        </w:r>
        <w:r w:rsidRPr="00BA4903">
          <w:rPr>
            <w:rStyle w:val="a9"/>
            <w:color w:val="auto"/>
            <w:sz w:val="28"/>
            <w:szCs w:val="28"/>
          </w:rPr>
          <w:t>.</w:t>
        </w:r>
        <w:proofErr w:type="spellStart"/>
        <w:r w:rsidRPr="00BA4903">
          <w:rPr>
            <w:rStyle w:val="a9"/>
            <w:color w:val="auto"/>
            <w:sz w:val="28"/>
            <w:szCs w:val="28"/>
            <w:lang w:val="en-US"/>
          </w:rPr>
          <w:t>tpprf</w:t>
        </w:r>
        <w:proofErr w:type="spellEnd"/>
        <w:r w:rsidRPr="00BA4903">
          <w:rPr>
            <w:rStyle w:val="a9"/>
            <w:color w:val="auto"/>
            <w:sz w:val="28"/>
            <w:szCs w:val="28"/>
          </w:rPr>
          <w:t>.</w:t>
        </w:r>
        <w:proofErr w:type="spellStart"/>
        <w:r w:rsidRPr="00BA4903">
          <w:rPr>
            <w:rStyle w:val="a9"/>
            <w:color w:val="auto"/>
            <w:sz w:val="28"/>
            <w:szCs w:val="28"/>
            <w:lang w:val="en-US"/>
          </w:rPr>
          <w:t>ru</w:t>
        </w:r>
        <w:proofErr w:type="spellEnd"/>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4" w:history="1">
        <w:r w:rsidRPr="00BA4903">
          <w:rPr>
            <w:rStyle w:val="a9"/>
            <w:color w:val="auto"/>
            <w:sz w:val="28"/>
            <w:szCs w:val="28"/>
            <w:lang w:val="en-US"/>
          </w:rPr>
          <w:t>www</w:t>
        </w:r>
        <w:r w:rsidRPr="00BA4903">
          <w:rPr>
            <w:rStyle w:val="a9"/>
            <w:color w:val="auto"/>
            <w:sz w:val="28"/>
            <w:szCs w:val="28"/>
          </w:rPr>
          <w:t>.</w:t>
        </w:r>
        <w:proofErr w:type="spellStart"/>
        <w:r w:rsidRPr="00BA4903">
          <w:rPr>
            <w:rStyle w:val="a9"/>
            <w:color w:val="auto"/>
            <w:sz w:val="28"/>
            <w:szCs w:val="28"/>
            <w:lang w:val="en-US"/>
          </w:rPr>
          <w:t>rspp</w:t>
        </w:r>
        <w:proofErr w:type="spellEnd"/>
        <w:r w:rsidRPr="00BA4903">
          <w:rPr>
            <w:rStyle w:val="a9"/>
            <w:color w:val="auto"/>
            <w:sz w:val="28"/>
            <w:szCs w:val="28"/>
          </w:rPr>
          <w:t>.</w:t>
        </w:r>
        <w:proofErr w:type="spellStart"/>
        <w:r w:rsidRPr="00BA4903">
          <w:rPr>
            <w:rStyle w:val="a9"/>
            <w:color w:val="auto"/>
            <w:sz w:val="28"/>
            <w:szCs w:val="28"/>
            <w:lang w:val="en-US"/>
          </w:rPr>
          <w:t>ru</w:t>
        </w:r>
        <w:proofErr w:type="spellEnd"/>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5"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6" w:history="1">
        <w:r w:rsidRPr="00BA4903">
          <w:rPr>
            <w:rStyle w:val="a9"/>
            <w:color w:val="auto"/>
            <w:sz w:val="28"/>
            <w:szCs w:val="28"/>
          </w:rPr>
          <w:t>www.opora.ru</w:t>
        </w:r>
      </w:hyperlink>
      <w:r w:rsidRPr="00BA4903">
        <w:rPr>
          <w:sz w:val="28"/>
          <w:szCs w:val="28"/>
        </w:rPr>
        <w:t>).</w:t>
      </w:r>
    </w:p>
    <w:p w:rsidR="0081739B" w:rsidRPr="00BA4903" w:rsidRDefault="0081739B" w:rsidP="00DB2B96">
      <w:pPr>
        <w:ind w:firstLine="624"/>
        <w:rPr>
          <w:sz w:val="28"/>
          <w:szCs w:val="28"/>
        </w:rPr>
      </w:pPr>
    </w:p>
    <w:sectPr w:rsidR="0081739B" w:rsidRPr="00BA4903" w:rsidSect="00DA57F2">
      <w:headerReference w:type="default" r:id="rId17"/>
      <w:footerReference w:type="even" r:id="rId18"/>
      <w:footerReference w:type="default" r:id="rId19"/>
      <w:headerReference w:type="first" r:id="rId20"/>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39D" w:rsidRDefault="00B3539D">
      <w:r>
        <w:separator/>
      </w:r>
    </w:p>
  </w:endnote>
  <w:endnote w:type="continuationSeparator" w:id="0">
    <w:p w:rsidR="00B3539D" w:rsidRDefault="00B3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5C" w:rsidRDefault="008B5A5C"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B5A5C" w:rsidRDefault="008B5A5C" w:rsidP="00900B5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5C" w:rsidRDefault="008B5A5C" w:rsidP="00900B5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39D" w:rsidRDefault="00B3539D">
      <w:r>
        <w:separator/>
      </w:r>
    </w:p>
  </w:footnote>
  <w:footnote w:type="continuationSeparator" w:id="0">
    <w:p w:rsidR="00B3539D" w:rsidRDefault="00B3539D">
      <w:r>
        <w:continuationSeparator/>
      </w:r>
    </w:p>
  </w:footnote>
  <w:footnote w:id="1">
    <w:p w:rsidR="008B5A5C" w:rsidRPr="002445D4" w:rsidRDefault="008B5A5C" w:rsidP="00AE6F54">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8B5A5C" w:rsidRDefault="008B5A5C" w:rsidP="005D6A32">
      <w:pPr>
        <w:pStyle w:val="aa"/>
      </w:pPr>
      <w:r>
        <w:rPr>
          <w:rStyle w:val="ac"/>
        </w:rPr>
        <w:footnoteRef/>
      </w:r>
      <w:r>
        <w:t xml:space="preserve"> Текст Обзора </w:t>
      </w:r>
      <w:r>
        <w:rPr>
          <w:lang w:val="ru-RU"/>
        </w:rPr>
        <w:t>р</w:t>
      </w:r>
      <w:r>
        <w:t>аз</w:t>
      </w:r>
      <w:r>
        <w:rPr>
          <w:lang w:val="ru-RU"/>
        </w:rPr>
        <w:t>мещен</w:t>
      </w:r>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http://www.rosmintrud.ru/ministry/programms/gossluzhba/antikorr/2/2</w:t>
        </w:r>
      </w:hyperlink>
      <w:r>
        <w:t>).</w:t>
      </w:r>
    </w:p>
  </w:footnote>
  <w:footnote w:id="3">
    <w:p w:rsidR="008B5A5C" w:rsidRDefault="008B5A5C"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5C" w:rsidRPr="00AE6F54" w:rsidRDefault="008B5A5C">
    <w:pPr>
      <w:pStyle w:val="af0"/>
      <w:jc w:val="center"/>
    </w:pPr>
    <w:r w:rsidRPr="00AE6F54">
      <w:fldChar w:fldCharType="begin"/>
    </w:r>
    <w:r w:rsidRPr="00AE6F54">
      <w:instrText xml:space="preserve"> PAGE   \* MERGEFORMAT </w:instrText>
    </w:r>
    <w:r w:rsidRPr="00AE6F54">
      <w:fldChar w:fldCharType="separate"/>
    </w:r>
    <w:r>
      <w:rPr>
        <w:noProof/>
      </w:rPr>
      <w:t>47</w:t>
    </w:r>
    <w:r w:rsidRPr="00AE6F54">
      <w:fldChar w:fldCharType="end"/>
    </w:r>
  </w:p>
  <w:p w:rsidR="008B5A5C" w:rsidRDefault="008B5A5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5C" w:rsidRPr="003F261F" w:rsidRDefault="008B5A5C">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Pr>
        <w:noProof/>
        <w:color w:val="FFFFFF"/>
      </w:rPr>
      <w:t>1</w:t>
    </w:r>
    <w:r w:rsidRPr="003F261F">
      <w:rPr>
        <w:color w:val="FFFFFF"/>
      </w:rPr>
      <w:fldChar w:fldCharType="end"/>
    </w:r>
  </w:p>
  <w:p w:rsidR="008B5A5C" w:rsidRDefault="008B5A5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15:restartNumberingAfterBreak="0">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15:restartNumberingAfterBreak="0">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15:restartNumberingAfterBreak="0">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15:restartNumberingAfterBreak="0">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15:restartNumberingAfterBreak="0">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15:restartNumberingAfterBreak="0">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15:restartNumberingAfterBreak="0">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15:restartNumberingAfterBreak="0">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15:restartNumberingAfterBreak="0">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202B"/>
    <w:rsid w:val="005671AE"/>
    <w:rsid w:val="00570417"/>
    <w:rsid w:val="00572103"/>
    <w:rsid w:val="005740C9"/>
    <w:rsid w:val="005777F7"/>
    <w:rsid w:val="00580C03"/>
    <w:rsid w:val="00581A11"/>
    <w:rsid w:val="0059050C"/>
    <w:rsid w:val="0059288B"/>
    <w:rsid w:val="00592A4A"/>
    <w:rsid w:val="00594D65"/>
    <w:rsid w:val="0059798F"/>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C6A8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5A5C"/>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1AD4"/>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554C"/>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39D"/>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5E0C"/>
    <w:rsid w:val="00CD62A4"/>
    <w:rsid w:val="00CE034A"/>
    <w:rsid w:val="00CE5E66"/>
    <w:rsid w:val="00CE6F4A"/>
    <w:rsid w:val="00D047E6"/>
    <w:rsid w:val="00D0641E"/>
    <w:rsid w:val="00D07A05"/>
    <w:rsid w:val="00D12896"/>
    <w:rsid w:val="00D15BCC"/>
    <w:rsid w:val="00D17E55"/>
    <w:rsid w:val="00D21E4C"/>
    <w:rsid w:val="00D220F1"/>
    <w:rsid w:val="00D268B0"/>
    <w:rsid w:val="00D32817"/>
    <w:rsid w:val="00D32FB6"/>
    <w:rsid w:val="00D35E35"/>
    <w:rsid w:val="00D405BE"/>
    <w:rsid w:val="00D408DC"/>
    <w:rsid w:val="00D43CC4"/>
    <w:rsid w:val="00D44132"/>
    <w:rsid w:val="00D513D2"/>
    <w:rsid w:val="00D64B55"/>
    <w:rsid w:val="00D65BD7"/>
    <w:rsid w:val="00D7457A"/>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13DB2"/>
    <w:rsid w:val="00E157B3"/>
    <w:rsid w:val="00E20790"/>
    <w:rsid w:val="00E21099"/>
    <w:rsid w:val="00E24033"/>
    <w:rsid w:val="00E273F9"/>
    <w:rsid w:val="00E3292C"/>
    <w:rsid w:val="00E33883"/>
    <w:rsid w:val="00E34846"/>
    <w:rsid w:val="00E4587B"/>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014DAD2"/>
  <w15:docId w15:val="{1D4B4715-5F02-4F2B-A0A2-0E7952E4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link w:val="af3"/>
    <w:uiPriority w:val="99"/>
    <w:semiHidden/>
    <w:rsid w:val="00985A3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0D5EF0EF0D60EB564614273C4B7B8D742A4B8064E0A5EBC247212AB3C74B337F35D86584E584C5V8SCL" TargetMode="External"/><Relationship Id="rId13" Type="http://schemas.openxmlformats.org/officeDocument/2006/relationships/hyperlink" Target="http://www.tpprf.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D0D5EF0EF0D60EB564614273C4B7B8D742A4B8064E0A5EBC247212AB3C74B337F35D86584E584C4V8S9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ora.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0D5EF0EF0D60EB564614273C4B7B8D74284E8E6FEAA5EBC247212AB3C74B337F35D86584E585C3V8S3L" TargetMode="External"/><Relationship Id="rId5" Type="http://schemas.openxmlformats.org/officeDocument/2006/relationships/webSettings" Target="webSettings.xml"/><Relationship Id="rId15" Type="http://schemas.openxmlformats.org/officeDocument/2006/relationships/hyperlink" Target="http://www.deloros.ru" TargetMode="External"/><Relationship Id="rId10" Type="http://schemas.openxmlformats.org/officeDocument/2006/relationships/hyperlink" Target="consultantplus://offline/ref=ED0D5EF0EF0D60EB564614273C4B7B8D74284E8E6FEAA5EBC247212AB3C74B337F35D86584E584C7V8S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ED0D5EF0EF0D60EB564614273C4B7B8D74284E8E6FEAA5EBC247212AB3C74B337F35D86584E584C4V8SCL" TargetMode="External"/><Relationship Id="rId14" Type="http://schemas.openxmlformats.org/officeDocument/2006/relationships/hyperlink" Target="http://www.rspp.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EEF17-8DFD-4C63-93D7-63EF32AD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17452</Words>
  <Characters>99480</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116699</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Кадры</cp:lastModifiedBy>
  <cp:revision>2</cp:revision>
  <cp:lastPrinted>2014-02-28T16:56:00Z</cp:lastPrinted>
  <dcterms:created xsi:type="dcterms:W3CDTF">2020-01-17T09:50:00Z</dcterms:created>
  <dcterms:modified xsi:type="dcterms:W3CDTF">2020-01-17T09:50:00Z</dcterms:modified>
</cp:coreProperties>
</file>